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4DE" w:rsidRDefault="00CA54D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And thou, Melkor, shalt see that no theme may be played that hath not its uttermost source in me . . .</w:t>
      </w: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J. R. R. Tolkien</w:t>
      </w: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Acculturation,</w:t>
      </w:r>
      <w:r>
        <w:rPr>
          <w:rFonts w:ascii="Arial" w:hAnsi="Arial" w:cs="Arial"/>
          <w:sz w:val="26"/>
          <w:szCs w:val="26"/>
        </w:rPr>
        <w:t xml:space="preserve"> </w:t>
      </w:r>
      <w:r>
        <w:rPr>
          <w:rFonts w:ascii="Arial" w:hAnsi="Arial" w:cs="Arial"/>
          <w:sz w:val="20"/>
          <w:szCs w:val="20"/>
        </w:rPr>
        <w:t>process by which continuous contact between two or more distinct societies causes cultural change. This can happen in one of two ways. The beliefs and customs of the groups may merge almost equally and result in a single culture. More often, however, one society completely absorbs the cultural patterns of another through a process of selection and modification. This change often occurs because of political or military domination. It may cause considerable psychological disturbance and social unrest.</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The term </w:t>
      </w:r>
      <w:r>
        <w:rPr>
          <w:rFonts w:ascii="Arial" w:hAnsi="Arial" w:cs="Arial"/>
          <w:i/>
          <w:iCs/>
          <w:sz w:val="20"/>
          <w:szCs w:val="20"/>
        </w:rPr>
        <w:t>acculturation</w:t>
      </w:r>
      <w:r>
        <w:rPr>
          <w:rFonts w:ascii="Arial" w:hAnsi="Arial" w:cs="Arial"/>
          <w:sz w:val="20"/>
          <w:szCs w:val="20"/>
        </w:rPr>
        <w:t xml:space="preserve"> was first used in anthropology in the late 19th century. After World War II it became an important field of study in applied anthropology.</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Alembert, Jean le Rond d'</w:t>
      </w:r>
      <w:r>
        <w:rPr>
          <w:rFonts w:ascii="Arial" w:hAnsi="Arial" w:cs="Arial"/>
          <w:sz w:val="26"/>
          <w:szCs w:val="26"/>
        </w:rPr>
        <w:t xml:space="preserve"> </w:t>
      </w:r>
      <w:r>
        <w:rPr>
          <w:rFonts w:ascii="Arial" w:hAnsi="Arial" w:cs="Arial"/>
          <w:sz w:val="20"/>
          <w:szCs w:val="20"/>
        </w:rPr>
        <w:t xml:space="preserve">(1717-83), French mathematician, philosopher, and Encyclopedist. Born in Paris, he was the illegitimate son of the French writer Claudine Guérin de Tencin and was left as an infant on the steps of the Chapel of Saint Jean le Rond, from which he received his name. He was educated at the Collège Mazarin, where he excelled in mathematics, physics, and astronomy. At the age of 22 he wrote his first published work, </w:t>
      </w:r>
      <w:r>
        <w:rPr>
          <w:rFonts w:ascii="Arial" w:hAnsi="Arial" w:cs="Arial"/>
          <w:i/>
          <w:iCs/>
          <w:sz w:val="20"/>
          <w:szCs w:val="20"/>
        </w:rPr>
        <w:t>Mémoire sur le calcul intégral</w:t>
      </w:r>
      <w:r>
        <w:rPr>
          <w:rFonts w:ascii="Arial" w:hAnsi="Arial" w:cs="Arial"/>
          <w:sz w:val="20"/>
          <w:szCs w:val="20"/>
        </w:rPr>
        <w:t xml:space="preserve"> (Report on Integral Calculus, 1739). His most important scientific work, </w:t>
      </w:r>
      <w:r>
        <w:rPr>
          <w:rFonts w:ascii="Arial" w:hAnsi="Arial" w:cs="Arial"/>
          <w:i/>
          <w:iCs/>
          <w:sz w:val="20"/>
          <w:szCs w:val="20"/>
        </w:rPr>
        <w:t>Traité de dynamique</w:t>
      </w:r>
      <w:r>
        <w:rPr>
          <w:rFonts w:ascii="Arial" w:hAnsi="Arial" w:cs="Arial"/>
          <w:sz w:val="20"/>
          <w:szCs w:val="20"/>
        </w:rPr>
        <w:t xml:space="preserve"> (Treatise on Dynamics, 1743), which marks an epoch in the science of mechanics, is based on the theory known as d'Alembert's principle, discovered by him at the age of 26 and expressed in the proposition: The resultant of the forces impressed upon a system is equivalent to the effective force of the entire system. </w:t>
      </w:r>
      <w:r>
        <w:rPr>
          <w:rFonts w:ascii="Arial" w:hAnsi="Arial" w:cs="Arial"/>
          <w:b/>
          <w:bCs/>
          <w:color w:val="FF0000"/>
          <w:sz w:val="20"/>
          <w:szCs w:val="20"/>
        </w:rPr>
        <w:t xml:space="preserve">His </w:t>
      </w:r>
      <w:r>
        <w:rPr>
          <w:rFonts w:ascii="Arial" w:hAnsi="Arial" w:cs="Arial"/>
          <w:b/>
          <w:bCs/>
          <w:i/>
          <w:iCs/>
          <w:color w:val="FF0000"/>
          <w:sz w:val="20"/>
          <w:szCs w:val="20"/>
        </w:rPr>
        <w:t>Réflexions sur la cause générale des vents</w:t>
      </w:r>
      <w:r>
        <w:rPr>
          <w:rFonts w:ascii="Arial" w:hAnsi="Arial" w:cs="Arial"/>
          <w:b/>
          <w:bCs/>
          <w:color w:val="FF0000"/>
          <w:sz w:val="20"/>
          <w:szCs w:val="20"/>
        </w:rPr>
        <w:t xml:space="preserve"> (Reflections on the General Cause of Winds, 1746) contains the first conception of the calculus of partial differential equations. </w:t>
      </w:r>
      <w:r>
        <w:rPr>
          <w:rFonts w:ascii="Arial" w:hAnsi="Arial" w:cs="Arial"/>
          <w:sz w:val="20"/>
          <w:szCs w:val="20"/>
        </w:rPr>
        <w:t xml:space="preserve">In 1749 he proposed the first analytical solution of the precession of the equinoxes. In 1751 he became associated with the French Encyclopedist Denis Diderot in editing the great French </w:t>
      </w:r>
      <w:r>
        <w:rPr>
          <w:rFonts w:ascii="Arial" w:hAnsi="Arial" w:cs="Arial"/>
          <w:i/>
          <w:iCs/>
          <w:sz w:val="20"/>
          <w:szCs w:val="20"/>
        </w:rPr>
        <w:t>Encyclopédie.</w:t>
      </w:r>
      <w:r>
        <w:rPr>
          <w:rFonts w:ascii="Arial" w:hAnsi="Arial" w:cs="Arial"/>
          <w:sz w:val="20"/>
          <w:szCs w:val="20"/>
        </w:rPr>
        <w:t xml:space="preserve"> Although he withdrew from the editorship in 1758 because of government interference with the publication, d'Alembert continued to contribute articles on science and philosophy.</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Times New Roman" w:hAnsi="Times New Roman" w:cs="Times New Roman"/>
          <w:sz w:val="24"/>
          <w:szCs w:val="24"/>
        </w:rPr>
      </w:pPr>
      <w:r>
        <w:rPr>
          <w:rFonts w:ascii="Arial" w:hAnsi="Arial" w:cs="Arial"/>
          <w:b/>
          <w:bCs/>
          <w:sz w:val="20"/>
          <w:szCs w:val="20"/>
        </w:rPr>
        <w:t>Alzheimer's Disease,</w:t>
      </w:r>
      <w:r>
        <w:rPr>
          <w:rFonts w:ascii="Arial" w:hAnsi="Arial" w:cs="Arial"/>
          <w:sz w:val="26"/>
          <w:szCs w:val="26"/>
        </w:rPr>
        <w:t xml:space="preserve"> </w:t>
      </w:r>
      <w:r>
        <w:rPr>
          <w:rFonts w:ascii="Arial" w:hAnsi="Arial" w:cs="Arial"/>
          <w:sz w:val="20"/>
          <w:szCs w:val="20"/>
        </w:rPr>
        <w:t>progressive degenerative disease of the brain now considered a leading cause of dementia (</w:t>
      </w:r>
      <w:r>
        <w:rPr>
          <w:rFonts w:ascii="Arial" w:hAnsi="Arial" w:cs="Arial"/>
          <w:i/>
          <w:iCs/>
          <w:sz w:val="20"/>
          <w:szCs w:val="20"/>
        </w:rPr>
        <w:t>see</w:t>
      </w:r>
      <w:r>
        <w:rPr>
          <w:rFonts w:ascii="Arial" w:hAnsi="Arial" w:cs="Arial"/>
          <w:sz w:val="20"/>
          <w:szCs w:val="20"/>
        </w:rPr>
        <w:t xml:space="preserve"> Senile Dementia among the old). First described by the German neuropathologist Alois Alzheimer in 1906, it affects an estimated 2.5 to 3 million persons in the U.S. The incidence of the disease increases with advancing age, but there is no evidence that it is caused by the aging process. </w:t>
      </w:r>
      <w:r>
        <w:rPr>
          <w:rFonts w:ascii="Times New Roman" w:hAnsi="Times New Roman" w:cs="Times New Roman"/>
          <w:sz w:val="24"/>
          <w:szCs w:val="24"/>
        </w:rPr>
        <w:t>{Behold the will of Ilúvatar}</w:t>
      </w:r>
    </w:p>
    <w:p w:rsidR="00CA54DE" w:rsidRDefault="00CA54DE">
      <w:pPr>
        <w:widowControl w:val="0"/>
        <w:autoSpaceDE w:val="0"/>
        <w:autoSpaceDN w:val="0"/>
        <w:adjustRightInd w:val="0"/>
        <w:spacing w:after="0" w:line="240" w:lineRule="auto"/>
        <w:ind w:right="180"/>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Arial" w:hAnsi="Arial" w:cs="Arial"/>
          <w:i/>
          <w:iCs/>
          <w:sz w:val="20"/>
          <w:szCs w:val="20"/>
        </w:rPr>
      </w:pPr>
      <w:r>
        <w:rPr>
          <w:rFonts w:ascii="Arial" w:hAnsi="Arial" w:cs="Arial"/>
          <w:sz w:val="20"/>
          <w:szCs w:val="20"/>
        </w:rPr>
        <w:t xml:space="preserve">Aristotle's treatment of the Prime Mover, or first cause, as pure intellect, perfect in unity, immutable, and, as he said, "the thought of thought," is given in the </w:t>
      </w:r>
      <w:r>
        <w:rPr>
          <w:rFonts w:ascii="Arial" w:hAnsi="Arial" w:cs="Arial"/>
          <w:i/>
          <w:iCs/>
          <w:sz w:val="20"/>
          <w:szCs w:val="20"/>
        </w:rPr>
        <w:t>Metaphysics.</w:t>
      </w:r>
    </w:p>
    <w:p w:rsidR="00CA54DE" w:rsidRDefault="00CA54DE">
      <w:pPr>
        <w:widowControl w:val="0"/>
        <w:autoSpaceDE w:val="0"/>
        <w:autoSpaceDN w:val="0"/>
        <w:adjustRightInd w:val="0"/>
        <w:spacing w:after="0" w:line="240" w:lineRule="auto"/>
        <w:rPr>
          <w:rFonts w:ascii="Arial" w:hAnsi="Arial" w:cs="Arial"/>
          <w:i/>
          <w:iCs/>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The severity of a burn depends on its depth, its extent, and the age of the victim. Burns are classified by depth as first, second, and third degree. First-degree burns cause redness and pain (e.g., sunburn). Second-degree burns are marked by blisters (e.g., scald by hot liquid). In third-degree burns, both the epidermis and dermis are destroyed, and underlying tissue may also be damaged (</w:t>
      </w:r>
      <w:r>
        <w:rPr>
          <w:rFonts w:ascii="Arial" w:hAnsi="Arial" w:cs="Arial"/>
          <w:i/>
          <w:iCs/>
          <w:sz w:val="20"/>
          <w:szCs w:val="20"/>
        </w:rPr>
        <w:t>see</w:t>
      </w:r>
      <w:r>
        <w:rPr>
          <w:rFonts w:ascii="Arial" w:hAnsi="Arial" w:cs="Arial"/>
          <w:sz w:val="20"/>
          <w:szCs w:val="20"/>
        </w:rPr>
        <w:t xml:space="preserve"> Skin).</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Color Blindness,</w:t>
      </w:r>
      <w:r>
        <w:rPr>
          <w:rFonts w:ascii="Arial" w:hAnsi="Arial" w:cs="Arial"/>
          <w:sz w:val="26"/>
          <w:szCs w:val="26"/>
        </w:rPr>
        <w:t xml:space="preserve"> </w:t>
      </w:r>
      <w:r>
        <w:rPr>
          <w:rFonts w:ascii="Arial" w:hAnsi="Arial" w:cs="Arial"/>
          <w:sz w:val="20"/>
          <w:szCs w:val="20"/>
        </w:rPr>
        <w:t xml:space="preserve">defect of vision affecting the ability to distinguish colors, occurring mostly in males. Color blindness is caused by a defect in the retina or in other nerve portions of the eye. The first detailed report on this condition was written by the British chemist John Dalton, who was himself afflicted with it. Total color blindness, in which all hues are perceived as variations of gray, is known as achromatopsia or monochromatism. This condition is congenital, extremely rare, and affects men and women almost equally. Partial color blindness, called dichromatism, consists generally of the inability to differentiate between the reds and the greens or to perceive either reds or greens; infrequently, the </w:t>
      </w:r>
      <w:r>
        <w:rPr>
          <w:rFonts w:ascii="Arial" w:hAnsi="Arial" w:cs="Arial"/>
          <w:sz w:val="20"/>
          <w:szCs w:val="20"/>
        </w:rPr>
        <w:lastRenderedPageBreak/>
        <w:t>confusion may involve the blues or the yellows. Dichromatism is the most common form of color blindness, affecting about 7 percent of men and less than 1 percent of women. Dichromatism is identified as a sex-linked hereditary characteristic. Color blindness also may occur as a temporary condition following a serious illness.</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vision of most color-blind people is normal in all other respects. In addition, color-blind people can generally learn by experience to associate certain colors with varying sensations of brightness. Consequently, many victims of the defect are unaware that they are color-blind. Several types of tests have been devised for the rapid diagnosis of color blindness and of the particular variations of the condition.</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Modern safety regulations in the U.S. require the tests for all transportation workers. In some states, color-vision tests are also given to drivers of private automobiles and to such public employees as police officers and firefighters.</w:t>
      </w:r>
    </w:p>
    <w:p w:rsidR="00CA54DE" w:rsidRDefault="00CA54DE">
      <w:pPr>
        <w:widowControl w:val="0"/>
        <w:autoSpaceDE w:val="0"/>
        <w:autoSpaceDN w:val="0"/>
        <w:adjustRightInd w:val="0"/>
        <w:spacing w:after="0" w:line="240" w:lineRule="auto"/>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In 1208, Pope Innocent III proclaimed a Crusade against the Albigenses, a religious sect in southern France. The ensuing Crusade was the first to be fought in Western Europe. Lasting from 1209 to 1229, the Crusade caused much bloodshed and the Christians failed to bring the Albigenses under their control.</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President Ronald Reagan criticized public schools for causing, rather than resolving, many educational problems, and he was the first recent president who pledged to strengthen private schools as an alternative to public education.</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Flinders, Matthew</w:t>
      </w:r>
      <w:r>
        <w:rPr>
          <w:rFonts w:ascii="Arial" w:hAnsi="Arial" w:cs="Arial"/>
          <w:sz w:val="26"/>
          <w:szCs w:val="26"/>
        </w:rPr>
        <w:t xml:space="preserve"> </w:t>
      </w:r>
      <w:r>
        <w:rPr>
          <w:rFonts w:ascii="Arial" w:hAnsi="Arial" w:cs="Arial"/>
          <w:sz w:val="20"/>
          <w:szCs w:val="20"/>
        </w:rPr>
        <w:t>(1774-1814), British explorer and navigator who charted the Australian coastline, born at Donington, near Boston, England. A self-educated navigator, he sailed to New South Wales in 1795 and explored an unknown strait now known as Bass Strait between Australia and Van Diemen's Land (now Tasmania). On his return to England, he took command (1801) of an expedition to investigate the coastline of Australia, which he circled in a counterclockwise direction, threading the Great Barrier Reef through what is now called Flinders Passage and surveying the Gulf of Carpentaria in the north. His charts of the coastline were remarkably accurate. After completing his work in 1803, he sailed for England. His ship was wrecked on an uncharted reef, however, and he returned to Australia in the ship's cutter, a remarkable 1127-km (about 700-mi) journey.</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Setting sail in another vessel, plagued by leaks, Flinders was forced to put in at Mauritius, then a possession of France, which was at war with England. Imprisoned for almost seven years as a spy, Flinders spent his time recording the first method of compensating for compass deviations caused by iron in a ship. Released in 1810, he returned to England and spent three years writing </w:t>
      </w:r>
      <w:r>
        <w:rPr>
          <w:rFonts w:ascii="Arial" w:hAnsi="Arial" w:cs="Arial"/>
          <w:i/>
          <w:iCs/>
          <w:sz w:val="20"/>
          <w:szCs w:val="20"/>
        </w:rPr>
        <w:t>A Voyage to Terra Australis</w:t>
      </w:r>
      <w:r>
        <w:rPr>
          <w:rFonts w:ascii="Arial" w:hAnsi="Arial" w:cs="Arial"/>
          <w:sz w:val="20"/>
          <w:szCs w:val="20"/>
        </w:rPr>
        <w:t xml:space="preserve"> (1814), published on the day of his death. The name of this outstanding hydrographer is perpetuated in a river in Queensland, several islands, a mountain range, and a naval depot near Melbourne. Flinders's consistent use of the term Australia for this part of the world led to acceptance of the name.</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If a person represents himself or herself as the agent of a business with which he or she is unconnected and causes another to make a contract to the other party's disadvantage or injury, the first party is guilty of fraud.</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Montesquieu, Charles Louis de Secondat, Baron de la Brède et de</w:t>
      </w:r>
      <w:r>
        <w:rPr>
          <w:rFonts w:ascii="Arial" w:hAnsi="Arial" w:cs="Arial"/>
          <w:sz w:val="26"/>
          <w:szCs w:val="26"/>
        </w:rPr>
        <w:t xml:space="preserve"> </w:t>
      </w:r>
      <w:r>
        <w:rPr>
          <w:rFonts w:ascii="Arial" w:hAnsi="Arial" w:cs="Arial"/>
          <w:sz w:val="20"/>
          <w:szCs w:val="20"/>
        </w:rPr>
        <w:t xml:space="preserve">(1689-1755), French writer and jurist, born in the Château of la Brède, and educated at the Oratorian school at Juilly and later at Bordeaux. He became counselor of the Bordeaux parliament in 1714 and was its president from 1716 to 1728. Montesquieu first became prominent as a writer with his </w:t>
      </w:r>
      <w:r>
        <w:rPr>
          <w:rFonts w:ascii="Arial" w:hAnsi="Arial" w:cs="Arial"/>
          <w:i/>
          <w:iCs/>
          <w:sz w:val="20"/>
          <w:szCs w:val="20"/>
        </w:rPr>
        <w:t>Persian Letters</w:t>
      </w:r>
      <w:r>
        <w:rPr>
          <w:rFonts w:ascii="Arial" w:hAnsi="Arial" w:cs="Arial"/>
          <w:sz w:val="20"/>
          <w:szCs w:val="20"/>
        </w:rPr>
        <w:t xml:space="preserve"> (1721; trans. 1961); in this work, through the device of letters written to and by two aristocratic Persian travelers in Europe, Montesquieu satirized contemporary French politics, social conditions, ecclesiastical matters, and literature. the book won immediate and wide popularity; it was one of the earliest works of the </w:t>
      </w:r>
      <w:r>
        <w:rPr>
          <w:rFonts w:ascii="Arial" w:hAnsi="Arial" w:cs="Arial"/>
          <w:sz w:val="20"/>
          <w:szCs w:val="20"/>
        </w:rPr>
        <w:lastRenderedPageBreak/>
        <w:t xml:space="preserve">movement known as the Enlightenment, which, by its criticism of French institutions under the Bourbon monarchy, helped bring about the French Revolution. The reputation acquired by Montesquieu through this work and several others of lesser importance led to his election to the French Academy in 1728. His second significant work was </w:t>
      </w:r>
      <w:r>
        <w:rPr>
          <w:rFonts w:ascii="Arial" w:hAnsi="Arial" w:cs="Arial"/>
          <w:i/>
          <w:iCs/>
          <w:sz w:val="20"/>
          <w:szCs w:val="20"/>
        </w:rPr>
        <w:t>Considérations sur les causes de la grandeur et de la décadence des Romains</w:t>
      </w:r>
      <w:r>
        <w:rPr>
          <w:rFonts w:ascii="Arial" w:hAnsi="Arial" w:cs="Arial"/>
          <w:sz w:val="20"/>
          <w:szCs w:val="20"/>
        </w:rPr>
        <w:t xml:space="preserve"> (Thoughts on the Causes of the Greatness and the Downfall of the Romans, 1734), one of the first important works in the philosophy of history. His masterpiece was </w:t>
      </w:r>
      <w:r>
        <w:rPr>
          <w:rFonts w:ascii="Arial" w:hAnsi="Arial" w:cs="Arial"/>
          <w:i/>
          <w:iCs/>
          <w:sz w:val="20"/>
          <w:szCs w:val="20"/>
        </w:rPr>
        <w:t>The Spirit of Laws</w:t>
      </w:r>
      <w:r>
        <w:rPr>
          <w:rFonts w:ascii="Arial" w:hAnsi="Arial" w:cs="Arial"/>
          <w:sz w:val="20"/>
          <w:szCs w:val="20"/>
        </w:rPr>
        <w:t xml:space="preserve"> (1748; trans. 1750), in which he examined the three main types of government (republic, monarchy, and despotism) and states that a relationship does exist between an area's climate, geography, and general circumstances and the form of government that evolves. Montesquieu also held that governmental powers should be separated and balanced to guarantee individual rights and freedom.</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Times New Roman" w:hAnsi="Times New Roman" w:cs="Times New Roman"/>
          <w:sz w:val="20"/>
          <w:szCs w:val="20"/>
        </w:rPr>
      </w:pPr>
      <w:r>
        <w:rPr>
          <w:rFonts w:ascii="Arial" w:hAnsi="Arial" w:cs="Arial"/>
          <w:sz w:val="20"/>
          <w:szCs w:val="20"/>
        </w:rPr>
        <w:t>Among the first Greek scholars to seek the fundamental causes of natural phenomena was the philosopher Thales, in the 6th century BC, who introduced the concept that the earth was a flat disk floating on the universal element, water. The mathematician and philosopher Pythagoras, who followed him, established a movement in which mathematics became a discipline fundamental to all scientific investigation. The Pythagorean scholars postulated a spherical earth moving in a circular orbit about a central fire. At Athens, in the 4th century BC, Ionian natural philosophy and Pythagorean mathematical science combined to produce the syntheses of the philosophies of Plato and Aristotle.</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The late medieval and early modern picture of diabolical witchcraft can be attributed to several causes. First, the church's experience with such dissident religious movements as the Albigenses and Cathari, who believed in a radical dualism of good and evil, led to the belief that certain people had allied themselves with Satan. As a result of confrontations with such heresy, the Inquisition was established by a series of papal decrees between 1227 and 1235. Pope Innocent IV authorized the use of torture in 1252, and Pope Alexander IV gave the Inquisition authority over all cases of sorcery involving heresy, although most actual prosecution of witches was carried out by local courts.</w:t>
      </w:r>
    </w:p>
    <w:p w:rsidR="00CA54DE" w:rsidRDefault="00CA54DE">
      <w:pPr>
        <w:widowControl w:val="0"/>
        <w:autoSpaceDE w:val="0"/>
        <w:autoSpaceDN w:val="0"/>
        <w:adjustRightInd w:val="0"/>
        <w:spacing w:after="0" w:line="240" w:lineRule="auto"/>
        <w:rPr>
          <w:rFonts w:ascii="MS Sans Serif" w:hAnsi="MS Sans Serif" w:cs="MS Sans Serif"/>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Advocate,</w:t>
      </w:r>
      <w:r>
        <w:rPr>
          <w:rFonts w:ascii="Arial" w:hAnsi="Arial" w:cs="Arial"/>
          <w:sz w:val="26"/>
          <w:szCs w:val="26"/>
        </w:rPr>
        <w:t xml:space="preserve"> </w:t>
      </w:r>
      <w:r>
        <w:rPr>
          <w:rFonts w:ascii="Arial" w:hAnsi="Arial" w:cs="Arial"/>
          <w:sz w:val="20"/>
          <w:szCs w:val="20"/>
        </w:rPr>
        <w:t>in a general sense, one who pleads for another in a court of law or other tribunal. In Great Britain, professional advocates are called barristers and are permitted to plead or argue cases before the High Court of Justice; a barrister is distinguished from a solicitor, who may conduct litigation only in inferior courts (</w:t>
      </w:r>
      <w:r>
        <w:rPr>
          <w:rFonts w:ascii="Arial" w:hAnsi="Arial" w:cs="Arial"/>
          <w:i/>
          <w:iCs/>
          <w:sz w:val="20"/>
          <w:szCs w:val="20"/>
        </w:rPr>
        <w:t>see</w:t>
      </w:r>
      <w:r>
        <w:rPr>
          <w:rFonts w:ascii="Arial" w:hAnsi="Arial" w:cs="Arial"/>
          <w:sz w:val="20"/>
          <w:szCs w:val="20"/>
        </w:rPr>
        <w:t xml:space="preserve"> Courts).</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blood completes its circuit by passing through small veins that join to form increasingly larger vessels until it reaches the largest veins, the inferior and superior venae cavae, which return it to the right side of the heart.</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Fine cast bells are made of a bronze alloy called bell metal, which typically consists of four parts copper and one part tin. Other metals tend to produce an inferior sound. The tone of a bell also depends on its proportions of height, width, thickness, and shape. A true bell tone is an intricate composite of many partial tones, each produced by vibrations of different sections of the bell. If the tuning of these sections is imperfect, dissonances occur when bells are played in harmony.</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Before the beginning of the 19th century, it was commonly assumed that every </w:t>
      </w: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species of life, human beings included, had descended from a pair of aboriginal ancestors created directly by God. In this respect the biblical story of Adam and Eve differs only in details from many other myths of the ancient Middle East and elsewhere. Similar motifs also appear in such ancient Mesopotamian sources as the Gilgamesh epic from about 2000 BC, for example.</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In some respects, however, the story of Adam and Eve is unique. The early chapters of the Book of Genesis underwent considerable editorial work, and what began as a straightforward narrative of the beginning of the human species in general was converted into a more sophisticated exploration of the situation of men and women in relation to one another and to their environment. </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This is evident in the introduction of the theme of a </w:t>
      </w:r>
      <w:r>
        <w:rPr>
          <w:rFonts w:ascii="Arial" w:hAnsi="Arial" w:cs="Arial"/>
          <w:b/>
          <w:bCs/>
          <w:sz w:val="20"/>
          <w:szCs w:val="20"/>
        </w:rPr>
        <w:t>separate</w:t>
      </w:r>
      <w:r>
        <w:rPr>
          <w:rFonts w:ascii="Arial" w:hAnsi="Arial" w:cs="Arial"/>
          <w:sz w:val="20"/>
          <w:szCs w:val="20"/>
        </w:rPr>
        <w:t xml:space="preserve"> creation of woman in Genesis 2:18-24, which, among other things, argues for the complementarity of the two sexes. The impulse to provide explanations can also be seen in the way the story is used to attribute the imperfections of the world to human error: It is a consequence of primordial disobedience that the earth yields its fruits grudgingly (Genesis 3:17-19) and that woman's social position is inferior to that of man (3:16). Christian interpreters have traditionally associated this dimension of the story with the doctrine of original sin.</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Concubinage was a legally sanctioned and socially acceptable practice in ancient cultures, including that of the Hebrews; concubines, however, were denied the protection to which a legal wife was entitled. Ancient Germans also accepted the practice as an inferior form of marriage. In Roman law, marriage was precisely defined as monogamous; concubinage was tolerated, but the concubine's status was inferior to that of a legal wife. </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The earliest authentic works extant on European alchemy are those of the English monk Roger Bacon and the German philosopher Albertus Magnus; both believed in the possibility of transmuting inferior metals into gold. </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In Plato's dialogue </w:t>
      </w:r>
      <w:r>
        <w:rPr>
          <w:rFonts w:ascii="Arial" w:hAnsi="Arial" w:cs="Arial"/>
          <w:i/>
          <w:iCs/>
          <w:sz w:val="20"/>
          <w:szCs w:val="20"/>
        </w:rPr>
        <w:t>Timaeus,</w:t>
      </w:r>
      <w:r>
        <w:rPr>
          <w:rFonts w:ascii="Arial" w:hAnsi="Arial" w:cs="Arial"/>
          <w:sz w:val="20"/>
          <w:szCs w:val="20"/>
        </w:rPr>
        <w:t xml:space="preserve"> the Demiurge was the creator of the world, the builder of the material universe. In later Neoplatonic and Gnostic philosophies, the Demiurge was still considered the architect of the world, but an entity distinct from and inferior to the supreme God.</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"Woman," wrote the Italian Fascist Ferdinando Loffredo, "must return under the subjection of man—father or husband—and must recognize therefore her own spiritual, cultural, and economic inferiority."</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Social Darwinism transposed Darwin's theory of the "survival of the fittest" from nature to society. Competition for goods, services, wealth, and power was considered natural and therefore necessary. Those who succeeded were supposed to be the fittest. Social Darwinism was also used to justify distinctions among races and among nations as well; some were deemed superior and others inferior.</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political system of the Bedouins is based on an extended patriarchal family unit. Each unit, from a minor family to an entire tribe, is led by a sheikh. The title descends from father to eldest son. The actual political authority of each sheikh depends, not upon the size of the unit he rules, but upon his wealth and the force of his personality.</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The social system of the Bedouins has four classifications, loosely based on ancestry and mobile wealth. For example, the camel breeders, the highest on the social scale, usually intramarry and consider other Bedouin groups inferior.</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A Sinicized Manchu tribe seized Beijing and proclaimed the Ch'ing dynasty. Their great emperor K'ang Hsi expanded China, met with scholarly missionaries, and welcomed trade, which grew despite China's treatment of foreigners as inferiors and the confinement of them to Guangzhou (Canton) and Macao. </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In 1891, after having been admitted to the British bar, Gandhi returned to India and attempted to establish a law practice in Bombay, with little success. Two years later an Indian firm with interests in South Africa retained him as legal adviser in its office in Durban. Arriving in Durban, Gandhi found himself treated as a member of an inferior race. He was appalled at the widespread denial of civil liberties and political rights to Indian immigrants to South Africa. He threw himself into the struggle for elementary rights for Indians.</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Gandhi remained in South Africa for 20 years, suffering imprisonment many times.</w:t>
      </w:r>
    </w:p>
    <w:p w:rsidR="00CA54DE" w:rsidRDefault="00CA54DE">
      <w:pPr>
        <w:widowControl w:val="0"/>
        <w:autoSpaceDE w:val="0"/>
        <w:autoSpaceDN w:val="0"/>
        <w:adjustRightInd w:val="0"/>
        <w:spacing w:after="0" w:line="240" w:lineRule="auto"/>
        <w:rPr>
          <w:rFonts w:ascii="MS Sans Serif" w:hAnsi="MS Sans Serif" w:cs="MS Sans Serif"/>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Treason,</w:t>
      </w:r>
      <w:r>
        <w:rPr>
          <w:rFonts w:ascii="Arial" w:hAnsi="Arial" w:cs="Arial"/>
          <w:sz w:val="26"/>
          <w:szCs w:val="26"/>
        </w:rPr>
        <w:t xml:space="preserve"> </w:t>
      </w:r>
      <w:r>
        <w:rPr>
          <w:rFonts w:ascii="Arial" w:hAnsi="Arial" w:cs="Arial"/>
          <w:sz w:val="20"/>
          <w:szCs w:val="20"/>
        </w:rPr>
        <w:t>criminal offense involving the attempt, by overt acts, to overthrow the government to which the offender owes allegiance, or to betray the state to a foreign power.</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Two grades of treason existed in early English law: high treason, which was directed against the Crown, and petty treason, which consisted of a crime against a subject, such as a wife killing her husband, or a servant murdering his master.</w:t>
      </w:r>
    </w:p>
    <w:p w:rsidR="00CA54DE" w:rsidRDefault="00CA54DE">
      <w:pPr>
        <w:widowControl w:val="0"/>
        <w:autoSpaceDE w:val="0"/>
        <w:autoSpaceDN w:val="0"/>
        <w:adjustRightInd w:val="0"/>
        <w:spacing w:after="0" w:line="240" w:lineRule="auto"/>
        <w:ind w:right="180"/>
        <w:rPr>
          <w:rFonts w:ascii="Arial" w:hAnsi="Arial" w:cs="Arial"/>
          <w:b/>
          <w:bCs/>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Conspiracy,</w:t>
      </w:r>
      <w:r>
        <w:rPr>
          <w:rFonts w:ascii="Arial" w:hAnsi="Arial" w:cs="Arial"/>
          <w:sz w:val="26"/>
          <w:szCs w:val="26"/>
        </w:rPr>
        <w:t xml:space="preserve"> </w:t>
      </w:r>
      <w:r>
        <w:rPr>
          <w:rFonts w:ascii="Arial" w:hAnsi="Arial" w:cs="Arial"/>
          <w:sz w:val="20"/>
          <w:szCs w:val="20"/>
        </w:rPr>
        <w:t>in law, agreement between persons to do something illegal or criminal. In this offense, the mere agreement of the conspirators is punishable by legal authority, even though they may not have taken any action to complete the crime. In most cases of conspiracy, however, such acts are performed.</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This doctrine of the common law has been changed by federal legislation and by statute in many states of the U.S. Under such legislation the commission of an overt act to accomplish the purpose of the conspiracy is essential to consummate the crime. As soon as that act is done, the offense of conspiracy is punishable and is in no way affected by the nature or results of the act, even if the act could not possibly accomplish the conspirators' intention.</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Some of the more important common-law conspiracies were those to commit treason or sedition, to murder, to cheat and defraud, and to injure another maliciously. They were misdemeanors only. Statutory conspiracies, that is, acts declared by legislation to be punishable as conspiracies, have been raised to the rank of felonies in some instances.</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Even when no crime is involved, a civil action for conspiracy may be brought by the persons who were damaged. A civil conspiracy or collusion is an agreement between two or more persons to defraud another of rights or to obtain an illegal objective.</w:t>
      </w:r>
    </w:p>
    <w:p w:rsidR="00CA54DE" w:rsidRDefault="00CA54DE">
      <w:pPr>
        <w:widowControl w:val="0"/>
        <w:autoSpaceDE w:val="0"/>
        <w:autoSpaceDN w:val="0"/>
        <w:adjustRightInd w:val="0"/>
        <w:spacing w:after="0" w:line="240" w:lineRule="auto"/>
        <w:ind w:right="180"/>
        <w:rPr>
          <w:rFonts w:ascii="Arial" w:hAnsi="Arial" w:cs="Arial"/>
          <w:b/>
          <w:bCs/>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Bloody Assizes,</w:t>
      </w:r>
      <w:r>
        <w:rPr>
          <w:rFonts w:ascii="Arial" w:hAnsi="Arial" w:cs="Arial"/>
          <w:sz w:val="26"/>
          <w:szCs w:val="26"/>
        </w:rPr>
        <w:t xml:space="preserve"> </w:t>
      </w:r>
      <w:r>
        <w:rPr>
          <w:rFonts w:ascii="Arial" w:hAnsi="Arial" w:cs="Arial"/>
          <w:sz w:val="20"/>
          <w:szCs w:val="20"/>
        </w:rPr>
        <w:t>name given to a series of treason trials conducted by Lord Chief Justice George Jeffreys in the western counties of England after the suppression in 1685 of a rebellion led by James Scott, duke of Monmouth, a claimant to the English throne. Jeffreys conducted the trials with ruthless disregard of the legal rights of the defendants. He sentenced more than 300 persons to death and more than 800 to penal transportation to the British colonies in America.</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Boniface VIII</w:t>
      </w:r>
      <w:r>
        <w:rPr>
          <w:rFonts w:ascii="Arial" w:hAnsi="Arial" w:cs="Arial"/>
          <w:sz w:val="26"/>
          <w:szCs w:val="26"/>
        </w:rPr>
        <w:t xml:space="preserve"> </w:t>
      </w:r>
      <w:r>
        <w:rPr>
          <w:rFonts w:ascii="Arial" w:hAnsi="Arial" w:cs="Arial"/>
          <w:sz w:val="20"/>
          <w:szCs w:val="20"/>
        </w:rPr>
        <w:t>(circa 1235-1303), pope (1294-1303), who upheld the absolute power of the papacy.</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Born Benedetto Gaetani (Caetani) in Anagni, Italy, he studied law in Bologna before accepting a series of appointments in the papal government. After serving with the embassies to France and England, he was appointed (1281) a cardinal. As papal legate in Paris from 1290 to 1291, he negotiated peace between France and Aragón. He succeeded in persuading the incompetent pope Celestine V to resign his office and succeeded him as Boniface VIII.</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A major part of Boniface's pontificate was carried on in confrontation with Philip IV of France. It began when Philip and Edward I of England imposed illegal levies on the church to finance their armies. Boniface replied with the bull </w:t>
      </w:r>
      <w:r>
        <w:rPr>
          <w:rFonts w:ascii="Arial" w:hAnsi="Arial" w:cs="Arial"/>
          <w:i/>
          <w:iCs/>
          <w:sz w:val="20"/>
          <w:szCs w:val="20"/>
        </w:rPr>
        <w:t>Clericis Laicos</w:t>
      </w:r>
      <w:r>
        <w:rPr>
          <w:rFonts w:ascii="Arial" w:hAnsi="Arial" w:cs="Arial"/>
          <w:sz w:val="20"/>
          <w:szCs w:val="20"/>
        </w:rPr>
        <w:t xml:space="preserve"> (1296), in which he forbade the collection of taxes from the clergy without express papal consent. In response, Philip forbade the transfer of gold and negotiable currency to Rome. Because Edward was equally resistant, Boniface was forced to relax his position. Again in 1301 papal authority was attacked in France when Philip accused Bernard Saisset (circa 1232-1314), a French bishop who was the papal legate, of treason and had him imprisoned. Boniface replied with the bull </w:t>
      </w:r>
      <w:r>
        <w:rPr>
          <w:rFonts w:ascii="Arial" w:hAnsi="Arial" w:cs="Arial"/>
          <w:i/>
          <w:iCs/>
          <w:sz w:val="20"/>
          <w:szCs w:val="20"/>
        </w:rPr>
        <w:t>Ausculta Fili</w:t>
      </w:r>
      <w:r>
        <w:rPr>
          <w:rFonts w:ascii="Arial" w:hAnsi="Arial" w:cs="Arial"/>
          <w:sz w:val="20"/>
          <w:szCs w:val="20"/>
        </w:rPr>
        <w:t xml:space="preserve"> (1301), in which he accused Philip of exceeding royal jurisdiction. This was followed by the famous bull </w:t>
      </w:r>
      <w:r>
        <w:rPr>
          <w:rFonts w:ascii="Arial" w:hAnsi="Arial" w:cs="Arial"/>
          <w:i/>
          <w:iCs/>
          <w:sz w:val="20"/>
          <w:szCs w:val="20"/>
        </w:rPr>
        <w:t>Unam Sanctam</w:t>
      </w:r>
      <w:r>
        <w:rPr>
          <w:rFonts w:ascii="Arial" w:hAnsi="Arial" w:cs="Arial"/>
          <w:sz w:val="20"/>
          <w:szCs w:val="20"/>
        </w:rPr>
        <w:t xml:space="preserve"> (1302), in which he asserted the supremacy of the pope over all rulers in temporal as well as in spiritual affairs. Declaring Boniface guilty of heresy, Philip ignored the bulls and soon declared his intention of deposing Boniface. In 1303 Boniface was about to excommunicate Philip for his disobedience when supporters of the king, together with Italian enemies of Boniface, made the pope prisoner at Anagni. Although liberated shortly thereafter, Boniface, probably mistreated, died three weeks later on October 11, 1303.</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 xml:space="preserve">Boniface VIII was an able lawyer. Under his direction </w:t>
      </w:r>
      <w:r>
        <w:rPr>
          <w:rFonts w:ascii="Arial" w:hAnsi="Arial" w:cs="Arial"/>
          <w:i/>
          <w:iCs/>
          <w:sz w:val="20"/>
          <w:szCs w:val="20"/>
        </w:rPr>
        <w:t>Liber Sextus,</w:t>
      </w:r>
      <w:r>
        <w:rPr>
          <w:rFonts w:ascii="Arial" w:hAnsi="Arial" w:cs="Arial"/>
          <w:sz w:val="20"/>
          <w:szCs w:val="20"/>
        </w:rPr>
        <w:t xml:space="preserve"> a collection of church legislation, was issued in 1298. The medieval papacy reached its height during his pontificate, but by the end of his reign the papacy was no longer able to withstand the growing power of the national monarchs.</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In 1893 Dreyfus, an artillery captain of Jewish faith who was assigned to the general staff in Paris, was charged with treason.</w:t>
      </w:r>
    </w:p>
    <w:p w:rsidR="00CA54DE" w:rsidRDefault="00CA54DE">
      <w:pPr>
        <w:widowControl w:val="0"/>
        <w:autoSpaceDE w:val="0"/>
        <w:autoSpaceDN w:val="0"/>
        <w:adjustRightInd w:val="0"/>
        <w:spacing w:after="0" w:line="240" w:lineRule="auto"/>
        <w:rPr>
          <w:rFonts w:ascii="MS Sans Serif" w:hAnsi="MS Sans Serif" w:cs="MS Sans Serif"/>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Cadmus,</w:t>
      </w:r>
      <w:r>
        <w:rPr>
          <w:rFonts w:ascii="Arial" w:hAnsi="Arial" w:cs="Arial"/>
          <w:sz w:val="26"/>
          <w:szCs w:val="26"/>
        </w:rPr>
        <w:t xml:space="preserve"> </w:t>
      </w:r>
      <w:r>
        <w:rPr>
          <w:rFonts w:ascii="Arial" w:hAnsi="Arial" w:cs="Arial"/>
          <w:sz w:val="20"/>
          <w:szCs w:val="20"/>
        </w:rPr>
        <w:t>in Greek mythology, Phoenician prince who founded the city of Thebes in Greece. When his sister Europa was kidnapped by the god Zeus, Cadmus was ordered by his father, the king of Phoenicia, to find her or not to return home. Unable to locate his sister, he consulted the oracle at Delphi and was instructed to abandon his search and instead to found a city. Upon leaving Delphi, the oracle advised, Cadmus would come upon a heifer, follow her, and build the city where she lay down to rest.</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Near the site of the new city Cadmus and his companions found a sacred grove guarded by a dragon. After the beast killed his companions, Cadmus slew the dragon and, on the advice of the goddess Athena, planted its teeth in the ground. Armed men sprang from the teeth and fought each other until all but five were killed. Cadmus enlisted the help of the victors in founding the citadel of the new city of Thebes, and they became the heads of its noble families. Before Cadmus could enjoy his new home, however, he had to do penance for killing the dragon, which was sacred to Ares, god of war. After eight years of servitude, Cadmus was made king of Thebes and was given Harmonia, the daughter of Ares and of Aphrodite, the goddess of love, as his wife.</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Although Thebes prospered under Cadmus's rule, misfortune overcame his descendants. In his old age, after two of his daughters and two of his grandsons had suffered violent deaths, Cadmus fled with his wife to Illyria, where at his death he and Harmonia were changed into serpents. According to tradition, Cadmus introduced the alphabet into Greece.</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Habakkuk laments, protests, and questions the suffering of the righteous and the flourishing of the wicked. </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God declares that he is raising up a nation, which shall be all-conquering and violent. He reveals, however, that the defeat of that nation will surely come for "he whose soul is not upright in him shall fail" (2:4). </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God concludes his revelation by asserting that "the righteous shall live by his faith" (2:4), a key passage for its role in later Protestant theology, and recalled in the New Testament in Romans 1:17, Galatians 3:11, and Hebrews 10:38 (</w:t>
      </w:r>
      <w:r>
        <w:rPr>
          <w:rFonts w:ascii="Arial" w:hAnsi="Arial" w:cs="Arial"/>
          <w:i/>
          <w:iCs/>
          <w:sz w:val="20"/>
          <w:szCs w:val="20"/>
        </w:rPr>
        <w:t>see</w:t>
      </w:r>
      <w:r>
        <w:rPr>
          <w:rFonts w:ascii="Arial" w:hAnsi="Arial" w:cs="Arial"/>
          <w:sz w:val="20"/>
          <w:szCs w:val="20"/>
        </w:rPr>
        <w:t xml:space="preserve"> Faith). </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The second section (2:6-20) consists of five denunciations (each one beginning "Woe to") directed against an unspecified people. This people, or nation, despoils others, seeks gain for itself in evil ways, builds towns and cities with the blood of the vanquished, degrades neighboring peoples shamelessly, and speaks to wood and stone idols that are dumb. The Chaldeans, mentioned earlier in the book (1:6), usually are taken to be this oppressive nation.</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Poseidon plays a prominent part in numerous ancient myths and legends. He contended unsuccessfully with Athena, goddess of wisdom, for the control of Athens. When he and Apollo, god of the sun, were cheated of their promised wages after having helped Laomedon, king of Troy, build the walls of that city, Poseidon's revenge against Troy knew no bounds. He sent a terrible sea monster to ravage the land, and during the Trojan War he helped the Greeks.</w:t>
      </w:r>
    </w:p>
    <w:p w:rsidR="00CA54DE" w:rsidRDefault="00CA54DE">
      <w:pPr>
        <w:widowControl w:val="0"/>
        <w:autoSpaceDE w:val="0"/>
        <w:autoSpaceDN w:val="0"/>
        <w:adjustRightInd w:val="0"/>
        <w:spacing w:after="0" w:line="240" w:lineRule="auto"/>
        <w:rPr>
          <w:rFonts w:ascii="MS Sans Serif" w:hAnsi="MS Sans Serif" w:cs="MS Sans Serif"/>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 xml:space="preserve">O Give thanks unto the </w:t>
      </w:r>
      <w:r>
        <w:rPr>
          <w:rFonts w:ascii="Times New Roman" w:hAnsi="Times New Roman" w:cs="Times New Roman"/>
          <w:sz w:val="32"/>
          <w:szCs w:val="32"/>
        </w:rPr>
        <w:t>L</w:t>
      </w:r>
      <w:r>
        <w:rPr>
          <w:rFonts w:ascii="Times New Roman" w:hAnsi="Times New Roman" w:cs="Times New Roman"/>
          <w:sz w:val="24"/>
          <w:szCs w:val="24"/>
        </w:rPr>
        <w:t xml:space="preserve">ORD, for he is good; for his mercy </w:t>
      </w:r>
      <w:r>
        <w:rPr>
          <w:rFonts w:ascii="Times New Roman" w:hAnsi="Times New Roman" w:cs="Times New Roman"/>
          <w:i/>
          <w:iCs/>
          <w:sz w:val="24"/>
          <w:szCs w:val="24"/>
        </w:rPr>
        <w:t xml:space="preserve">endureth </w:t>
      </w:r>
      <w:r>
        <w:rPr>
          <w:rFonts w:ascii="Times New Roman" w:hAnsi="Times New Roman" w:cs="Times New Roman"/>
          <w:sz w:val="24"/>
          <w:szCs w:val="24"/>
        </w:rPr>
        <w:t>forever.</w:t>
      </w:r>
    </w:p>
    <w:p w:rsidR="00CA54DE" w:rsidRDefault="00CA54DE">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 xml:space="preserve">Let the redeemed of the </w:t>
      </w:r>
      <w:r>
        <w:rPr>
          <w:rFonts w:ascii="Times New Roman" w:hAnsi="Times New Roman" w:cs="Times New Roman"/>
          <w:sz w:val="32"/>
          <w:szCs w:val="32"/>
        </w:rPr>
        <w:t>L</w:t>
      </w:r>
      <w:r>
        <w:rPr>
          <w:rFonts w:ascii="Times New Roman" w:hAnsi="Times New Roman" w:cs="Times New Roman"/>
          <w:sz w:val="24"/>
          <w:szCs w:val="24"/>
        </w:rPr>
        <w:t>ORD say so, whom he hath redeemed from the hand of the enemy;  and gathered them out of the lands, from the east, and from the west, from the north, and from the south.</w:t>
      </w:r>
    </w:p>
    <w:p w:rsidR="00CA54DE" w:rsidRDefault="00CA54DE">
      <w:pPr>
        <w:widowControl w:val="0"/>
        <w:autoSpaceDE w:val="0"/>
        <w:autoSpaceDN w:val="0"/>
        <w:adjustRightInd w:val="0"/>
        <w:spacing w:after="0" w:line="240" w:lineRule="auto"/>
        <w:ind w:right="180"/>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Elam</w:t>
      </w:r>
      <w:r>
        <w:rPr>
          <w:rFonts w:ascii="Arial" w:hAnsi="Arial" w:cs="Arial"/>
          <w:sz w:val="26"/>
          <w:szCs w:val="26"/>
        </w:rPr>
        <w:t xml:space="preserve"> </w:t>
      </w:r>
      <w:r>
        <w:rPr>
          <w:rFonts w:ascii="Arial" w:hAnsi="Arial" w:cs="Arial"/>
          <w:sz w:val="20"/>
          <w:szCs w:val="20"/>
        </w:rPr>
        <w:t xml:space="preserve">(Elamite </w:t>
      </w:r>
      <w:r>
        <w:rPr>
          <w:rFonts w:ascii="Arial" w:hAnsi="Arial" w:cs="Arial"/>
          <w:i/>
          <w:iCs/>
          <w:sz w:val="20"/>
          <w:szCs w:val="20"/>
        </w:rPr>
        <w:t>Haltamtu;</w:t>
      </w:r>
      <w:r>
        <w:rPr>
          <w:rFonts w:ascii="Arial" w:hAnsi="Arial" w:cs="Arial"/>
          <w:sz w:val="20"/>
          <w:szCs w:val="20"/>
        </w:rPr>
        <w:t xml:space="preserve"> Persian </w:t>
      </w:r>
      <w:r>
        <w:rPr>
          <w:rFonts w:ascii="Arial" w:hAnsi="Arial" w:cs="Arial"/>
          <w:i/>
          <w:iCs/>
          <w:sz w:val="20"/>
          <w:szCs w:val="20"/>
        </w:rPr>
        <w:t>Huwaja;</w:t>
      </w:r>
      <w:r>
        <w:rPr>
          <w:rFonts w:ascii="Arial" w:hAnsi="Arial" w:cs="Arial"/>
          <w:sz w:val="20"/>
          <w:szCs w:val="20"/>
        </w:rPr>
        <w:t xml:space="preserve"> Greek </w:t>
      </w:r>
      <w:r>
        <w:rPr>
          <w:rFonts w:ascii="Arial" w:hAnsi="Arial" w:cs="Arial"/>
          <w:i/>
          <w:iCs/>
          <w:sz w:val="20"/>
          <w:szCs w:val="20"/>
        </w:rPr>
        <w:t>Susiana</w:t>
      </w:r>
      <w:r>
        <w:rPr>
          <w:rFonts w:ascii="Arial" w:hAnsi="Arial" w:cs="Arial"/>
          <w:sz w:val="20"/>
          <w:szCs w:val="20"/>
        </w:rPr>
        <w:t xml:space="preserve"> or </w:t>
      </w:r>
      <w:r>
        <w:rPr>
          <w:rFonts w:ascii="Arial" w:hAnsi="Arial" w:cs="Arial"/>
          <w:i/>
          <w:iCs/>
          <w:sz w:val="20"/>
          <w:szCs w:val="20"/>
        </w:rPr>
        <w:t>Elymais;</w:t>
      </w:r>
      <w:r>
        <w:rPr>
          <w:rFonts w:ascii="Arial" w:hAnsi="Arial" w:cs="Arial"/>
          <w:sz w:val="20"/>
          <w:szCs w:val="20"/>
        </w:rPr>
        <w:t xml:space="preserve"> Sumerian and Hebrew </w:t>
      </w:r>
      <w:r>
        <w:rPr>
          <w:rFonts w:ascii="Arial" w:hAnsi="Arial" w:cs="Arial"/>
          <w:i/>
          <w:iCs/>
          <w:sz w:val="20"/>
          <w:szCs w:val="20"/>
        </w:rPr>
        <w:t>Elam</w:t>
      </w:r>
      <w:r>
        <w:rPr>
          <w:rFonts w:ascii="Arial" w:hAnsi="Arial" w:cs="Arial"/>
          <w:sz w:val="20"/>
          <w:szCs w:val="20"/>
        </w:rPr>
        <w:t>), kingdom of ancient Asia, situated north of the Persian Gulf and east of the Tigris River, and corresponding approximately to the present-day province of Kh</w:t>
      </w:r>
      <w:r>
        <w:rPr>
          <w:rFonts w:ascii="MS Reference 1" w:hAnsi="MS Reference 1"/>
          <w:sz w:val="20"/>
          <w:szCs w:val="20"/>
        </w:rPr>
        <w:t></w:t>
      </w:r>
      <w:r>
        <w:rPr>
          <w:rFonts w:ascii="Arial" w:hAnsi="Arial" w:cs="Arial"/>
          <w:sz w:val="20"/>
          <w:szCs w:val="20"/>
        </w:rPr>
        <w:t>zest</w:t>
      </w:r>
      <w:r>
        <w:rPr>
          <w:rFonts w:ascii="MS Reference 1" w:hAnsi="MS Reference 1"/>
          <w:sz w:val="20"/>
          <w:szCs w:val="20"/>
        </w:rPr>
        <w:t></w:t>
      </w:r>
      <w:r>
        <w:rPr>
          <w:rFonts w:ascii="Arial" w:hAnsi="Arial" w:cs="Arial"/>
          <w:sz w:val="20"/>
          <w:szCs w:val="20"/>
        </w:rPr>
        <w:t>n (Khuzistan), Iran. The capital of Elam was Susa, today the city of Shush. Other leading cities included Awan, Simash, Madaktu, and Dur-Untash, the site of present-day Tchoga-Zembil, Iran. During various periods of Elamite history the rulers entitled themselves "kings of Anshan and Shushan." Anshan has been positively identified with present-day Tepe Mahjan in southwestern Iran.</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site of one of the earliest civilizations, Elam dates from the 6th millennium BC. The inhabitants, known as the Elamites, spoke an agglutinative language unrelated to the Sumerian, Semitic, or Indo-European languages. After 3000 BC the Elamites, influenced by the system of writing developed by the neighboring Sumerians, began to record their language in a native semipictographic script known as Proto-Elamite. About 2300 BC this script was replaced by the cuneiform of the Sumerians and Akkadians.</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the previously unimportant city of Babylon to the north, the ruler Hammurabi came to the fore. As king, Hammurabi combined astute diplomacy and military leadership; he defeated Rim-Sin, as well as the kings of Elam, Mari, and Eshnunna, and about 1760 BC became the ruler of a united kingdom extending from the Persian Gulf to the Habur River. The history of Babylonia is considered to begin with Hammurabi.</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Times New Roman" w:hAnsi="Times New Roman" w:cs="Times New Roman"/>
          <w:sz w:val="24"/>
          <w:szCs w:val="24"/>
        </w:rPr>
        <w:tab/>
        <w:t xml:space="preserve">Oh that </w:t>
      </w:r>
      <w:r>
        <w:rPr>
          <w:rFonts w:ascii="Times New Roman" w:hAnsi="Times New Roman" w:cs="Times New Roman"/>
          <w:i/>
          <w:iCs/>
          <w:sz w:val="24"/>
          <w:szCs w:val="24"/>
        </w:rPr>
        <w:t>men</w:t>
      </w:r>
      <w:r>
        <w:rPr>
          <w:rFonts w:ascii="Times New Roman" w:hAnsi="Times New Roman" w:cs="Times New Roman"/>
          <w:sz w:val="24"/>
          <w:szCs w:val="24"/>
        </w:rPr>
        <w:t xml:space="preserve"> would praise the</w:t>
      </w:r>
      <w:r>
        <w:rPr>
          <w:rFonts w:ascii="Arial" w:hAnsi="Arial" w:cs="Arial"/>
          <w:sz w:val="20"/>
          <w:szCs w:val="20"/>
        </w:rPr>
        <w:t xml:space="preserve"> </w:t>
      </w:r>
      <w:r>
        <w:rPr>
          <w:rFonts w:ascii="Times New Roman" w:hAnsi="Times New Roman" w:cs="Times New Roman"/>
          <w:sz w:val="32"/>
          <w:szCs w:val="32"/>
        </w:rPr>
        <w:t>L</w:t>
      </w:r>
      <w:r>
        <w:rPr>
          <w:rFonts w:ascii="Times New Roman" w:hAnsi="Times New Roman" w:cs="Times New Roman"/>
          <w:sz w:val="24"/>
          <w:szCs w:val="24"/>
        </w:rPr>
        <w:t xml:space="preserve">ORD </w:t>
      </w:r>
      <w:r>
        <w:rPr>
          <w:rFonts w:ascii="Times New Roman" w:hAnsi="Times New Roman" w:cs="Times New Roman"/>
          <w:i/>
          <w:iCs/>
          <w:sz w:val="24"/>
          <w:szCs w:val="24"/>
        </w:rPr>
        <w:t>for</w:t>
      </w:r>
      <w:r>
        <w:rPr>
          <w:rFonts w:ascii="Times New Roman" w:hAnsi="Times New Roman" w:cs="Times New Roman"/>
          <w:sz w:val="24"/>
          <w:szCs w:val="24"/>
        </w:rPr>
        <w:t xml:space="preserve"> his goodness, and </w:t>
      </w:r>
      <w:r>
        <w:rPr>
          <w:rFonts w:ascii="Times New Roman" w:hAnsi="Times New Roman" w:cs="Times New Roman"/>
          <w:i/>
          <w:iCs/>
          <w:sz w:val="24"/>
          <w:szCs w:val="24"/>
        </w:rPr>
        <w:t>for</w:t>
      </w:r>
      <w:r>
        <w:rPr>
          <w:rFonts w:ascii="Times New Roman" w:hAnsi="Times New Roman" w:cs="Times New Roman"/>
          <w:sz w:val="24"/>
          <w:szCs w:val="24"/>
        </w:rPr>
        <w:t xml:space="preserve"> his wonderful works to the children of men!</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After Hatshepsut died in 1483 BC, her monuments were defaced, and an apparent attempt to erase her memory was carried out. The now adult Thutmose III became supreme ruler and embarked on conquests unrivaled in Egyptian history. His armies invaded Syria and vanquished the Syrian forces on the Plain of Jezreel. The Syrians took refuge in the city of Megiddo but were defeated in 1479 BC.</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Times New Roman" w:hAnsi="Times New Roman" w:cs="Times New Roman"/>
          <w:sz w:val="32"/>
          <w:szCs w:val="32"/>
        </w:rPr>
        <w:tab/>
      </w:r>
      <w:r>
        <w:rPr>
          <w:rFonts w:ascii="Times New Roman" w:hAnsi="Times New Roman" w:cs="Times New Roman"/>
          <w:sz w:val="24"/>
          <w:szCs w:val="24"/>
        </w:rPr>
        <w:t>Fools because of their transgression, and because of their iniquities, are afflicted.</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The kings of the 18th through the 20th dynasties were great builders of religious architecture. With the capital reestablished at Thebes, special attention was paid to the local god Amon, who became the most important deity in Egypt. The temple complex at Al Karnak, the cult center of Amon, was added to by virtually every ruler in the New Kingdom, resulting in one of the most impressive religious structures in history. Gigantic pylon gateways, colonnaded courts, and many-columned halls decorated with obelisks (</w:t>
      </w:r>
      <w:r>
        <w:rPr>
          <w:rFonts w:ascii="Arial" w:hAnsi="Arial" w:cs="Arial"/>
          <w:i/>
          <w:iCs/>
          <w:sz w:val="20"/>
          <w:szCs w:val="20"/>
        </w:rPr>
        <w:t>see</w:t>
      </w:r>
      <w:r>
        <w:rPr>
          <w:rFonts w:ascii="Arial" w:hAnsi="Arial" w:cs="Arial"/>
          <w:sz w:val="20"/>
          <w:szCs w:val="20"/>
        </w:rPr>
        <w:t xml:space="preserve"> Obelisk) and statues created an impressive display directly attributable to the power of the king and the state.</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Ezekiel was the first of the major Hebrew prophets to consider the ultimate consequences of the withdrawal of God's spirit from his chosen people. He sees exile and the destruction of the Temple as inevitable punishments for those who disobey God; therefore he stresses the importance of obedience to God. Another of his major themes is that of God as the ruler of history. To emphasize this idea, he frequently uses the phrase (or variants of it) "then they will know that I am the Lord," coupled with a dire prophecy against Judah or an enemy of Judah. The vision of the valley of the dry bones illustrates yet another significant theme: that of the spirit of God as an animating force creating life in the midst of death.</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111 BC, Chinese armies conquered Nam Viet and absorbed it into the growing Han Empire. The Chinese conquest had fateful consequences for the future course of Vietnamese history. After briefly ruling through local chieftains, Chinese rulers attempted to integrate Vietnam politically and culturally into the Han Empire. Chinese administrators were imported to replace the local landed nobility. Political institutions patterned after the Chinese model were imposed, and Confucianism became the official ideology.</w:t>
      </w:r>
    </w:p>
    <w:p w:rsidR="00CA54DE" w:rsidRDefault="00CA54DE">
      <w:pPr>
        <w:widowControl w:val="0"/>
        <w:autoSpaceDE w:val="0"/>
        <w:autoSpaceDN w:val="0"/>
        <w:adjustRightInd w:val="0"/>
        <w:spacing w:after="0" w:line="240" w:lineRule="auto"/>
        <w:ind w:right="180"/>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Times New Roman" w:hAnsi="Times New Roman" w:cs="Times New Roman"/>
          <w:sz w:val="24"/>
          <w:szCs w:val="24"/>
        </w:rPr>
        <w:tab/>
        <w:t xml:space="preserve">Oh that </w:t>
      </w:r>
      <w:r>
        <w:rPr>
          <w:rFonts w:ascii="Times New Roman" w:hAnsi="Times New Roman" w:cs="Times New Roman"/>
          <w:i/>
          <w:iCs/>
          <w:sz w:val="24"/>
          <w:szCs w:val="24"/>
        </w:rPr>
        <w:t>men</w:t>
      </w:r>
      <w:r>
        <w:rPr>
          <w:rFonts w:ascii="Times New Roman" w:hAnsi="Times New Roman" w:cs="Times New Roman"/>
          <w:sz w:val="24"/>
          <w:szCs w:val="24"/>
        </w:rPr>
        <w:t xml:space="preserve"> would praise the</w:t>
      </w:r>
      <w:r>
        <w:rPr>
          <w:rFonts w:ascii="Arial" w:hAnsi="Arial" w:cs="Arial"/>
          <w:sz w:val="20"/>
          <w:szCs w:val="20"/>
        </w:rPr>
        <w:t xml:space="preserve"> </w:t>
      </w:r>
      <w:r>
        <w:rPr>
          <w:rFonts w:ascii="Times New Roman" w:hAnsi="Times New Roman" w:cs="Times New Roman"/>
          <w:sz w:val="32"/>
          <w:szCs w:val="32"/>
        </w:rPr>
        <w:t>L</w:t>
      </w:r>
      <w:r>
        <w:rPr>
          <w:rFonts w:ascii="Times New Roman" w:hAnsi="Times New Roman" w:cs="Times New Roman"/>
          <w:sz w:val="24"/>
          <w:szCs w:val="24"/>
        </w:rPr>
        <w:t xml:space="preserve">ORD </w:t>
      </w:r>
      <w:r>
        <w:rPr>
          <w:rFonts w:ascii="Times New Roman" w:hAnsi="Times New Roman" w:cs="Times New Roman"/>
          <w:i/>
          <w:iCs/>
          <w:sz w:val="24"/>
          <w:szCs w:val="24"/>
        </w:rPr>
        <w:t>for</w:t>
      </w:r>
      <w:r>
        <w:rPr>
          <w:rFonts w:ascii="Times New Roman" w:hAnsi="Times New Roman" w:cs="Times New Roman"/>
          <w:sz w:val="24"/>
          <w:szCs w:val="24"/>
        </w:rPr>
        <w:t xml:space="preserve"> his goodness, and </w:t>
      </w:r>
      <w:r>
        <w:rPr>
          <w:rFonts w:ascii="Times New Roman" w:hAnsi="Times New Roman" w:cs="Times New Roman"/>
          <w:i/>
          <w:iCs/>
          <w:sz w:val="24"/>
          <w:szCs w:val="24"/>
        </w:rPr>
        <w:t>for</w:t>
      </w:r>
      <w:r>
        <w:rPr>
          <w:rFonts w:ascii="Times New Roman" w:hAnsi="Times New Roman" w:cs="Times New Roman"/>
          <w:sz w:val="24"/>
          <w:szCs w:val="24"/>
        </w:rPr>
        <w:t xml:space="preserve"> his wonderful works to the children of men!</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Holy Roman Empire,</w:t>
      </w:r>
      <w:r>
        <w:rPr>
          <w:rFonts w:ascii="Arial" w:hAnsi="Arial" w:cs="Arial"/>
          <w:sz w:val="26"/>
          <w:szCs w:val="26"/>
        </w:rPr>
        <w:t xml:space="preserve"> </w:t>
      </w:r>
      <w:r>
        <w:rPr>
          <w:rFonts w:ascii="Arial" w:hAnsi="Arial" w:cs="Arial"/>
          <w:sz w:val="20"/>
          <w:szCs w:val="20"/>
        </w:rPr>
        <w:t>a political entity in western Europe from 800 to 1806. It was initially known as the Empire in the West. In the 11th century it was called the Roman Empire and in the 12th century the Holy Empire. The title Holy Roman Empire was adopted in the 13th century. Although the borders of the empire shifted greatly throughout its history, its principal area was always that of the German states. From the 10th century its rulers were elected German kings, who usually sought, but did not always receive, imperial coronation by the popes in Rome.</w:t>
      </w:r>
    </w:p>
    <w:p w:rsidR="00CA54DE" w:rsidRDefault="00CA54DE">
      <w:pPr>
        <w:widowControl w:val="0"/>
        <w:autoSpaceDE w:val="0"/>
        <w:autoSpaceDN w:val="0"/>
        <w:adjustRightInd w:val="0"/>
        <w:spacing w:after="0" w:line="240" w:lineRule="auto"/>
        <w:ind w:right="180"/>
        <w:rPr>
          <w:rFonts w:ascii="Arial" w:hAnsi="Arial" w:cs="Arial"/>
          <w:sz w:val="24"/>
          <w:szCs w:val="24"/>
        </w:rPr>
      </w:pPr>
    </w:p>
    <w:p w:rsidR="00CA54DE" w:rsidRDefault="00CA54D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W</w:t>
      </w:r>
      <w:r>
        <w:rPr>
          <w:rFonts w:ascii="MS Reference 1" w:hAnsi="MS Reference 1"/>
          <w:sz w:val="20"/>
          <w:szCs w:val="20"/>
        </w:rPr>
        <w:t></w:t>
      </w:r>
      <w:r>
        <w:rPr>
          <w:rFonts w:ascii="Arial" w:hAnsi="Arial" w:cs="Arial"/>
          <w:sz w:val="20"/>
          <w:szCs w:val="20"/>
        </w:rPr>
        <w:t>adys</w:t>
      </w:r>
      <w:r>
        <w:rPr>
          <w:rFonts w:ascii="MS Reference 1" w:hAnsi="MS Reference 1"/>
          <w:sz w:val="20"/>
          <w:szCs w:val="20"/>
        </w:rPr>
        <w:t></w:t>
      </w:r>
      <w:r>
        <w:rPr>
          <w:rFonts w:ascii="Arial" w:hAnsi="Arial" w:cs="Arial"/>
          <w:sz w:val="20"/>
          <w:szCs w:val="20"/>
        </w:rPr>
        <w:t>aw I the Short, of the Piast dynasty, was crowned king of Poland in 1320. From 1305 to 1333, defeats were inflicted on the Teutonic Knights, and the kingdom was reunited. The power and prosperity of Poland increased tremendously during the reign, from 1333 to 1370, of his son Casimir III, one of the most enlightened rulers in Polish history and the last of the Piast dynasty. He initiated important administrative, judicial, and legislative reforms, founded the University of Kraków (1364), extended aid to the Jewish refugees from western Europe, and added Galicia to the Polish domains.</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The forcible suppression of the Czech language produced results entirely contrary to those intended by the Habsburg rulers. Czech nationalism revived, and writers took a renewed interest in the history of their country, stressing kinship with the other Slav peoples. The leader in the study of the Czech language and history was Josef Dobrovský. He collected extensive lexicographic materials and established the richness of classical Czech.</w:t>
      </w:r>
    </w:p>
    <w:p w:rsidR="00CA54DE" w:rsidRDefault="00CA54DE">
      <w:pPr>
        <w:widowControl w:val="0"/>
        <w:autoSpaceDE w:val="0"/>
        <w:autoSpaceDN w:val="0"/>
        <w:adjustRightInd w:val="0"/>
        <w:spacing w:after="0" w:line="240" w:lineRule="auto"/>
        <w:rPr>
          <w:rFonts w:ascii="Arial" w:hAnsi="Arial" w:cs="Arial"/>
          <w:sz w:val="24"/>
          <w:szCs w:val="24"/>
        </w:rPr>
      </w:pPr>
    </w:p>
    <w:p w:rsidR="00CA54DE" w:rsidRDefault="00CA54D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Although the ironfisted ruler of a mighty nation, Stalin has remained an enigmatic figure and his role in history a controversial one. Soviet historians assessed his regime as a great one, although marred by some errors, but Western scholars and post-</w:t>
      </w:r>
      <w:r>
        <w:rPr>
          <w:rFonts w:ascii="Arial" w:hAnsi="Arial" w:cs="Arial"/>
          <w:i/>
          <w:iCs/>
          <w:sz w:val="20"/>
          <w:szCs w:val="20"/>
        </w:rPr>
        <w:t>glasnost'</w:t>
      </w:r>
      <w:r>
        <w:rPr>
          <w:rFonts w:ascii="Arial" w:hAnsi="Arial" w:cs="Arial"/>
          <w:sz w:val="20"/>
          <w:szCs w:val="20"/>
        </w:rPr>
        <w:t xml:space="preserve"> Russian scholars assailed the bloody terror of his rule.</w:t>
      </w:r>
    </w:p>
    <w:p w:rsidR="00CA54DE" w:rsidRDefault="00CA54DE">
      <w:pPr>
        <w:widowControl w:val="0"/>
        <w:autoSpaceDE w:val="0"/>
        <w:autoSpaceDN w:val="0"/>
        <w:adjustRightInd w:val="0"/>
        <w:spacing w:after="0" w:line="240" w:lineRule="auto"/>
        <w:rPr>
          <w:rFonts w:ascii="Times New Roman" w:hAnsi="Times New Roman" w:cs="Times New Roman"/>
          <w:sz w:val="20"/>
          <w:szCs w:val="20"/>
        </w:rPr>
      </w:pPr>
    </w:p>
    <w:p w:rsidR="00CA54DE" w:rsidRDefault="00CA54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title </w:t>
      </w:r>
      <w:r>
        <w:rPr>
          <w:rFonts w:ascii="Arial" w:hAnsi="Arial" w:cs="Arial"/>
          <w:i/>
          <w:iCs/>
          <w:sz w:val="20"/>
          <w:szCs w:val="20"/>
        </w:rPr>
        <w:t>emperor</w:t>
      </w:r>
      <w:r>
        <w:rPr>
          <w:rFonts w:ascii="Arial" w:hAnsi="Arial" w:cs="Arial"/>
          <w:sz w:val="20"/>
          <w:szCs w:val="20"/>
        </w:rPr>
        <w:t xml:space="preserve"> generally refers to a ruler of wide territories and peoples, whereas the title </w:t>
      </w:r>
      <w:r>
        <w:rPr>
          <w:rFonts w:ascii="Arial" w:hAnsi="Arial" w:cs="Arial"/>
          <w:i/>
          <w:iCs/>
          <w:sz w:val="20"/>
          <w:szCs w:val="20"/>
        </w:rPr>
        <w:t>king</w:t>
      </w:r>
      <w:r>
        <w:rPr>
          <w:rFonts w:ascii="Arial" w:hAnsi="Arial" w:cs="Arial"/>
          <w:sz w:val="20"/>
          <w:szCs w:val="20"/>
        </w:rPr>
        <w:t xml:space="preserve"> applies to the ruler of a single territory and people. Throughout history various rulers have adopted the title of emperor, but with changes in the political structure of states and the granting of independence to many colonial possessions, the basis for the term is disappearing.</w:t>
      </w:r>
    </w:p>
    <w:p w:rsidR="00CA54DE" w:rsidRDefault="00CA54DE">
      <w:pPr>
        <w:widowControl w:val="0"/>
        <w:autoSpaceDE w:val="0"/>
        <w:autoSpaceDN w:val="0"/>
        <w:adjustRightInd w:val="0"/>
        <w:spacing w:after="0" w:line="240" w:lineRule="auto"/>
        <w:rPr>
          <w:rFonts w:ascii="Arial" w:hAnsi="Arial" w:cs="Arial"/>
          <w:sz w:val="20"/>
          <w:szCs w:val="20"/>
        </w:rPr>
      </w:pPr>
    </w:p>
    <w:p w:rsidR="00CA54DE" w:rsidRDefault="00CA54DE">
      <w:pPr>
        <w:widowControl w:val="0"/>
        <w:autoSpaceDE w:val="0"/>
        <w:autoSpaceDN w:val="0"/>
        <w:adjustRightInd w:val="0"/>
        <w:spacing w:after="0" w:line="240" w:lineRule="auto"/>
        <w:rPr>
          <w:rFonts w:ascii="Arial" w:hAnsi="Arial" w:cs="Arial"/>
          <w:sz w:val="20"/>
          <w:szCs w:val="20"/>
        </w:rPr>
      </w:pPr>
    </w:p>
    <w:p w:rsidR="00CA54DE" w:rsidRDefault="00CA54DE">
      <w:pPr>
        <w:widowControl w:val="0"/>
        <w:autoSpaceDE w:val="0"/>
        <w:autoSpaceDN w:val="0"/>
        <w:adjustRightInd w:val="0"/>
        <w:spacing w:after="0" w:line="240" w:lineRule="auto"/>
        <w:ind w:right="180"/>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4"/>
          <w:szCs w:val="24"/>
        </w:rPr>
        <w:t xml:space="preserve">Whoso </w:t>
      </w:r>
      <w:r>
        <w:rPr>
          <w:rFonts w:ascii="Times New Roman" w:hAnsi="Times New Roman" w:cs="Times New Roman"/>
          <w:i/>
          <w:iCs/>
          <w:sz w:val="24"/>
          <w:szCs w:val="24"/>
        </w:rPr>
        <w:t xml:space="preserve">is </w:t>
      </w:r>
      <w:r>
        <w:rPr>
          <w:rFonts w:ascii="Times New Roman" w:hAnsi="Times New Roman" w:cs="Times New Roman"/>
          <w:sz w:val="24"/>
          <w:szCs w:val="24"/>
        </w:rPr>
        <w:t xml:space="preserve">wise, and will observe these </w:t>
      </w:r>
      <w:r>
        <w:rPr>
          <w:rFonts w:ascii="Times New Roman" w:hAnsi="Times New Roman" w:cs="Times New Roman"/>
          <w:i/>
          <w:iCs/>
          <w:sz w:val="24"/>
          <w:szCs w:val="24"/>
        </w:rPr>
        <w:t>things</w:t>
      </w:r>
      <w:r>
        <w:rPr>
          <w:rFonts w:ascii="Times New Roman" w:hAnsi="Times New Roman" w:cs="Times New Roman"/>
          <w:sz w:val="24"/>
          <w:szCs w:val="24"/>
        </w:rPr>
        <w:t xml:space="preserve">, even they shall understand the lovingkindness of the </w:t>
      </w:r>
      <w:r>
        <w:rPr>
          <w:rFonts w:ascii="Times New Roman" w:hAnsi="Times New Roman" w:cs="Times New Roman"/>
          <w:sz w:val="32"/>
          <w:szCs w:val="32"/>
        </w:rPr>
        <w:t>L</w:t>
      </w:r>
      <w:r>
        <w:rPr>
          <w:rFonts w:ascii="Times New Roman" w:hAnsi="Times New Roman" w:cs="Times New Roman"/>
          <w:sz w:val="24"/>
          <w:szCs w:val="24"/>
        </w:rPr>
        <w:t>ORD.</w:t>
      </w:r>
    </w:p>
    <w:p w:rsidR="00CA54DE" w:rsidRDefault="00CA54DE">
      <w:pPr>
        <w:widowControl w:val="0"/>
        <w:autoSpaceDE w:val="0"/>
        <w:autoSpaceDN w:val="0"/>
        <w:adjustRightInd w:val="0"/>
        <w:spacing w:after="0" w:line="240" w:lineRule="auto"/>
        <w:ind w:right="180"/>
        <w:rPr>
          <w:rFonts w:ascii="MS Sans Serif" w:hAnsi="MS Sans Serif" w:cs="MS Sans Serif"/>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24"/>
          <w:szCs w:val="24"/>
        </w:rPr>
      </w:pPr>
    </w:p>
    <w:p w:rsidR="00CA54DE" w:rsidRDefault="00CA54D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A54DE" w:rsidRDefault="00CA54DE">
      <w:pPr>
        <w:widowControl w:val="0"/>
        <w:autoSpaceDE w:val="0"/>
        <w:autoSpaceDN w:val="0"/>
        <w:adjustRightInd w:val="0"/>
        <w:spacing w:after="0" w:line="240" w:lineRule="auto"/>
        <w:rPr>
          <w:rFonts w:ascii="Times New Roman" w:hAnsi="Times New Roman" w:cs="Times New Roman"/>
          <w:sz w:val="34"/>
          <w:szCs w:val="34"/>
        </w:rPr>
      </w:pPr>
    </w:p>
    <w:p w:rsidR="00CA54DE" w:rsidRDefault="00CA54D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A54DE" w:rsidSect="00CA54DE">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4DE" w:rsidRDefault="00CA54DE" w:rsidP="00CA54DE">
      <w:pPr>
        <w:spacing w:after="0" w:line="240" w:lineRule="auto"/>
      </w:pPr>
      <w:r>
        <w:separator/>
      </w:r>
    </w:p>
  </w:endnote>
  <w:endnote w:type="continuationSeparator" w:id="0">
    <w:p w:rsidR="00CA54DE" w:rsidRDefault="00CA54DE" w:rsidP="00CA54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MS Reference 1">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4DE" w:rsidRDefault="00CA54D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4DE" w:rsidRDefault="00CA54DE" w:rsidP="00CA54DE">
      <w:pPr>
        <w:spacing w:after="0" w:line="240" w:lineRule="auto"/>
      </w:pPr>
      <w:r>
        <w:separator/>
      </w:r>
    </w:p>
  </w:footnote>
  <w:footnote w:type="continuationSeparator" w:id="0">
    <w:p w:rsidR="00CA54DE" w:rsidRDefault="00CA54DE" w:rsidP="00CA54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4DE" w:rsidRDefault="00CA54D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54DE"/>
    <w:rsid w:val="004B50A9"/>
    <w:rsid w:val="00CA54D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4558</Words>
  <Characters>25982</Characters>
  <Application>Microsoft Office Word</Application>
  <DocSecurity>0</DocSecurity>
  <Lines>216</Lines>
  <Paragraphs>60</Paragraphs>
  <ScaleCrop>false</ScaleCrop>
  <Company/>
  <LinksUpToDate>false</LinksUpToDate>
  <CharactersWithSpaces>30480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2019-06-04T00:37:00Z</dcterms:created>
  <dcterms:modified xsi:type="dcterms:W3CDTF">2019-06-04T00:37:00Z</dcterms:modified>
</cp:coreProperties>
</file>